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Helvetica Neue" w:cs="Helvetica Neue" w:eastAsia="Helvetica Neue" w:hAnsi="Helvetica Neue"/>
          <w:color w:val="1d2228"/>
          <w:sz w:val="20"/>
          <w:szCs w:val="20"/>
          <w:highlight w:val="white"/>
        </w:rPr>
      </w:pPr>
      <w:r w:rsidDel="00000000" w:rsidR="00000000" w:rsidRPr="00000000">
        <w:rPr/>
        <w:drawing>
          <wp:inline distB="0" distT="0" distL="0" distR="0">
            <wp:extent cx="2860675" cy="2265045"/>
            <wp:effectExtent b="0" l="0" r="0" t="0"/>
            <wp:docPr descr="Dene park logo" id="3" name="image1.png"/>
            <a:graphic>
              <a:graphicData uri="http://schemas.openxmlformats.org/drawingml/2006/picture">
                <pic:pic>
                  <pic:nvPicPr>
                    <pic:cNvPr descr="Dene park logo" id="0" name="image1.png"/>
                    <pic:cNvPicPr preferRelativeResize="0"/>
                  </pic:nvPicPr>
                  <pic:blipFill>
                    <a:blip r:embed="rId7"/>
                    <a:srcRect b="0" l="0" r="0" t="0"/>
                    <a:stretch>
                      <a:fillRect/>
                    </a:stretch>
                  </pic:blipFill>
                  <pic:spPr>
                    <a:xfrm>
                      <a:off x="0" y="0"/>
                      <a:ext cx="2860675" cy="22650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80" w:before="280" w:line="240" w:lineRule="auto"/>
        <w:jc w:val="center"/>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Dene Park Estate Request</w:t>
      </w:r>
      <w:r w:rsidDel="00000000" w:rsidR="00000000" w:rsidRPr="00000000">
        <w:rPr>
          <w:rFonts w:ascii="Helvetica Neue" w:cs="Helvetica Neue" w:eastAsia="Helvetica Neue" w:hAnsi="Helvetica Neue"/>
          <w:b w:val="1"/>
          <w:sz w:val="20"/>
          <w:szCs w:val="20"/>
          <w:highlight w:val="white"/>
          <w:rtl w:val="0"/>
        </w:rPr>
        <w:t xml:space="preserve">/Complaint</w:t>
      </w:r>
      <w:r w:rsidDel="00000000" w:rsidR="00000000" w:rsidRPr="00000000">
        <w:rPr>
          <w:rFonts w:ascii="Helvetica Neue" w:cs="Helvetica Neue" w:eastAsia="Helvetica Neue" w:hAnsi="Helvetica Neue"/>
          <w:b w:val="1"/>
          <w:sz w:val="20"/>
          <w:szCs w:val="20"/>
          <w:highlight w:val="white"/>
          <w:rtl w:val="0"/>
        </w:rPr>
        <w:t xml:space="preserve"> Form</w:t>
      </w:r>
    </w:p>
    <w:p w:rsidR="00000000" w:rsidDel="00000000" w:rsidP="00000000" w:rsidRDefault="00000000" w:rsidRPr="00000000" w14:paraId="00000003">
      <w:pPr>
        <w:shd w:fill="ffffff" w:val="clear"/>
        <w:spacing w:after="280" w:before="280"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This form is for the use of Dene Park Estate residents and non-residents. It can be used to submit a </w:t>
      </w:r>
      <w:r w:rsidDel="00000000" w:rsidR="00000000" w:rsidRPr="00000000">
        <w:rPr>
          <w:rFonts w:ascii="Helvetica Neue" w:cs="Helvetica Neue" w:eastAsia="Helvetica Neue" w:hAnsi="Helvetica Neue"/>
          <w:sz w:val="20"/>
          <w:szCs w:val="20"/>
          <w:highlight w:val="white"/>
          <w:rtl w:val="0"/>
        </w:rPr>
        <w:t xml:space="preserve">request, complaint or idea</w:t>
      </w:r>
      <w:r w:rsidDel="00000000" w:rsidR="00000000" w:rsidRPr="00000000">
        <w:rPr>
          <w:rFonts w:ascii="Helvetica Neue" w:cs="Helvetica Neue" w:eastAsia="Helvetica Neue" w:hAnsi="Helvetica Neue"/>
          <w:sz w:val="20"/>
          <w:szCs w:val="20"/>
          <w:highlight w:val="white"/>
          <w:rtl w:val="0"/>
        </w:rPr>
        <w:t xml:space="preserve"> to the directors of </w:t>
      </w:r>
      <w:r w:rsidDel="00000000" w:rsidR="00000000" w:rsidRPr="00000000">
        <w:rPr>
          <w:rFonts w:ascii="Helvetica Neue" w:cs="Helvetica Neue" w:eastAsia="Helvetica Neue" w:hAnsi="Helvetica Neue"/>
          <w:sz w:val="20"/>
          <w:szCs w:val="20"/>
          <w:highlight w:val="white"/>
          <w:rtl w:val="0"/>
        </w:rPr>
        <w:t xml:space="preserve">Dene Park Maintenance Ltd. (DPM)</w:t>
      </w:r>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or court representatives </w:t>
      </w:r>
      <w:r w:rsidDel="00000000" w:rsidR="00000000" w:rsidRPr="00000000">
        <w:rPr>
          <w:rFonts w:ascii="Helvetica Neue" w:cs="Helvetica Neue" w:eastAsia="Helvetica Neue" w:hAnsi="Helvetica Neue"/>
          <w:sz w:val="20"/>
          <w:szCs w:val="20"/>
          <w:highlight w:val="white"/>
          <w:rtl w:val="0"/>
        </w:rPr>
        <w:t xml:space="preserve">on the </w:t>
      </w:r>
      <w:r w:rsidDel="00000000" w:rsidR="00000000" w:rsidRPr="00000000">
        <w:rPr>
          <w:rFonts w:ascii="Helvetica Neue" w:cs="Helvetica Neue" w:eastAsia="Helvetica Neue" w:hAnsi="Helvetica Neue"/>
          <w:sz w:val="20"/>
          <w:szCs w:val="20"/>
          <w:highlight w:val="white"/>
          <w:rtl w:val="0"/>
        </w:rPr>
        <w:t xml:space="preserve">DPM</w:t>
      </w:r>
      <w:r w:rsidDel="00000000" w:rsidR="00000000" w:rsidRPr="00000000">
        <w:rPr>
          <w:rFonts w:ascii="Helvetica Neue" w:cs="Helvetica Neue" w:eastAsia="Helvetica Neue" w:hAnsi="Helvetica Neue"/>
          <w:sz w:val="20"/>
          <w:szCs w:val="20"/>
          <w:highlight w:val="white"/>
          <w:rtl w:val="0"/>
        </w:rPr>
        <w:t xml:space="preserve"> Committee.</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Helvetica Neue" w:cs="Helvetica Neue" w:eastAsia="Helvetica Neue" w:hAnsi="Helvetica Neue"/>
          <w:b w:val="0"/>
          <w:i w:val="0"/>
          <w:smallCaps w:val="0"/>
          <w:strike w:val="0"/>
          <w:color w:val="1d2228"/>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sz w:val="20"/>
          <w:szCs w:val="20"/>
          <w:highlight w:val="white"/>
          <w:u w:val="none"/>
          <w:vertAlign w:val="baseline"/>
          <w:rtl w:val="0"/>
        </w:rPr>
        <w:t xml:space="preserve">Non-urgent submissions will receive a response after the next meeting has taken place. </w:t>
      </w:r>
      <w:r w:rsidDel="00000000" w:rsidR="00000000" w:rsidRPr="00000000">
        <w:rPr>
          <w:rFonts w:ascii="Helvetica Neue" w:cs="Helvetica Neue" w:eastAsia="Helvetica Neue" w:hAnsi="Helvetica Neue"/>
          <w:b w:val="0"/>
          <w:i w:val="0"/>
          <w:smallCaps w:val="0"/>
          <w:strike w:val="0"/>
          <w:sz w:val="20"/>
          <w:szCs w:val="20"/>
          <w:highlight w:val="white"/>
          <w:u w:val="none"/>
          <w:vertAlign w:val="baseline"/>
          <w:rtl w:val="0"/>
        </w:rPr>
        <w:t xml:space="preserve">(DPM board meetings usually occur monthly.) </w:t>
      </w:r>
      <w:r w:rsidDel="00000000" w:rsidR="00000000" w:rsidRPr="00000000">
        <w:rPr>
          <w:rFonts w:ascii="Helvetica Neue" w:cs="Helvetica Neue" w:eastAsia="Helvetica Neue" w:hAnsi="Helvetica Neue"/>
          <w:b w:val="0"/>
          <w:i w:val="0"/>
          <w:smallCaps w:val="0"/>
          <w:strike w:val="0"/>
          <w:sz w:val="20"/>
          <w:szCs w:val="20"/>
          <w:highlight w:val="white"/>
          <w:u w:val="none"/>
          <w:vertAlign w:val="baseline"/>
          <w:rtl w:val="0"/>
        </w:rPr>
        <w:t xml:space="preserve">Urgent submi</w:t>
      </w: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ssions will receive a response as soon as possible.</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Helvetica Neue" w:cs="Helvetica Neue" w:eastAsia="Helvetica Neue" w:hAnsi="Helvetica Neue"/>
          <w:b w:val="0"/>
          <w:i w:val="0"/>
          <w:smallCaps w:val="0"/>
          <w:strike w:val="0"/>
          <w:color w:val="1d2228"/>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Please note, if your request is regarding trees on the estate, please consult our Tree Policy (</w:t>
      </w:r>
      <w:hyperlink r:id="rId8">
        <w:r w:rsidDel="00000000" w:rsidR="00000000" w:rsidRPr="00000000">
          <w:rPr>
            <w:rFonts w:ascii="Helvetica Neue" w:cs="Helvetica Neue" w:eastAsia="Helvetica Neue" w:hAnsi="Helvetica Neue"/>
            <w:b w:val="0"/>
            <w:i w:val="0"/>
            <w:smallCaps w:val="0"/>
            <w:strike w:val="0"/>
            <w:color w:val="0563c1"/>
            <w:sz w:val="20"/>
            <w:szCs w:val="20"/>
            <w:highlight w:val="white"/>
            <w:u w:val="single"/>
            <w:vertAlign w:val="baseline"/>
            <w:rtl w:val="0"/>
          </w:rPr>
          <w:t xml:space="preserve">https://www.denepark.org/documents/tree-policy/</w:t>
        </w:r>
      </w:hyperlink>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 ).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Helvetica Neue" w:cs="Helvetica Neue" w:eastAsia="Helvetica Neue" w:hAnsi="Helvetica Neue"/>
          <w:b w:val="0"/>
          <w:i w:val="0"/>
          <w:smallCaps w:val="0"/>
          <w:strike w:val="0"/>
          <w:color w:val="1d2228"/>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It is the directors’ duty to uphold the DPM covenant (</w:t>
      </w:r>
      <w:hyperlink r:id="rId9">
        <w:r w:rsidDel="00000000" w:rsidR="00000000" w:rsidRPr="00000000">
          <w:rPr>
            <w:rFonts w:ascii="Helvetica Neue" w:cs="Helvetica Neue" w:eastAsia="Helvetica Neue" w:hAnsi="Helvetica Neue"/>
            <w:b w:val="0"/>
            <w:i w:val="0"/>
            <w:smallCaps w:val="0"/>
            <w:strike w:val="0"/>
            <w:color w:val="0563c1"/>
            <w:sz w:val="20"/>
            <w:szCs w:val="20"/>
            <w:highlight w:val="white"/>
            <w:u w:val="single"/>
            <w:vertAlign w:val="baseline"/>
            <w:rtl w:val="0"/>
          </w:rPr>
          <w:t xml:space="preserve">https://www.denepark.org/covenant/</w:t>
        </w:r>
      </w:hyperlink>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 ) to </w:t>
      </w:r>
      <w:r w:rsidDel="00000000" w:rsidR="00000000" w:rsidRPr="00000000">
        <w:rPr>
          <w:rFonts w:ascii="Helvetica Neue" w:cs="Helvetica Neue" w:eastAsia="Helvetica Neue" w:hAnsi="Helvetica Neue"/>
          <w:b w:val="0"/>
          <w:i w:val="0"/>
          <w:smallCaps w:val="0"/>
          <w:strike w:val="0"/>
          <w:sz w:val="20"/>
          <w:szCs w:val="20"/>
          <w:highlight w:val="white"/>
          <w:u w:val="none"/>
          <w:vertAlign w:val="baseline"/>
          <w:rtl w:val="0"/>
        </w:rPr>
        <w:t xml:space="preserve">ensure that the appearance of the estate remains unaltered from its award winning </w:t>
      </w:r>
      <w:r w:rsidDel="00000000" w:rsidR="00000000" w:rsidRPr="00000000">
        <w:rPr>
          <w:rFonts w:ascii="Helvetica Neue" w:cs="Helvetica Neue" w:eastAsia="Helvetica Neue" w:hAnsi="Helvetica Neue"/>
          <w:b w:val="0"/>
          <w:i w:val="0"/>
          <w:smallCaps w:val="0"/>
          <w:strike w:val="0"/>
          <w:sz w:val="20"/>
          <w:szCs w:val="20"/>
          <w:highlight w:val="white"/>
          <w:u w:val="none"/>
          <w:vertAlign w:val="baseline"/>
          <w:rtl w:val="0"/>
        </w:rPr>
        <w:t xml:space="preserve">design </w:t>
      </w:r>
      <w:r w:rsidDel="00000000" w:rsidR="00000000" w:rsidRPr="00000000">
        <w:rPr>
          <w:rFonts w:ascii="Helvetica Neue" w:cs="Helvetica Neue" w:eastAsia="Helvetica Neue" w:hAnsi="Helvetica Neue"/>
          <w:b w:val="0"/>
          <w:i w:val="0"/>
          <w:smallCaps w:val="0"/>
          <w:strike w:val="0"/>
          <w:sz w:val="20"/>
          <w:szCs w:val="20"/>
          <w:highlight w:val="white"/>
          <w:u w:val="none"/>
          <w:vertAlign w:val="baseline"/>
          <w:rtl w:val="0"/>
        </w:rPr>
        <w:t xml:space="preserve">form. Requests that are not in line with the covenant are unlikely to be upheld.</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Helvetica Neue" w:cs="Helvetica Neue" w:eastAsia="Helvetica Neue" w:hAnsi="Helvetica Neue"/>
          <w:b w:val="0"/>
          <w:i w:val="0"/>
          <w:smallCaps w:val="0"/>
          <w:strike w:val="0"/>
          <w:color w:val="1d2228"/>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sz w:val="20"/>
          <w:szCs w:val="20"/>
          <w:highlight w:val="white"/>
          <w:u w:val="none"/>
          <w:vertAlign w:val="baseline"/>
          <w:rtl w:val="0"/>
        </w:rPr>
        <w:t xml:space="preserve">If you have a complaint about a neighbour, the directors have limited powers and they recommend that you seek a neighbourly resolution in the first instance. </w:t>
      </w:r>
      <w:r w:rsidDel="00000000" w:rsidR="00000000" w:rsidRPr="00000000">
        <w:rPr>
          <w:rFonts w:ascii="Helvetica Neue" w:cs="Helvetica Neue" w:eastAsia="Helvetica Neue" w:hAnsi="Helvetica Neue"/>
          <w:b w:val="0"/>
          <w:i w:val="0"/>
          <w:smallCaps w:val="0"/>
          <w:strike w:val="0"/>
          <w:sz w:val="20"/>
          <w:szCs w:val="20"/>
          <w:highlight w:val="white"/>
          <w:u w:val="none"/>
          <w:vertAlign w:val="baseline"/>
          <w:rtl w:val="0"/>
        </w:rPr>
        <w:t xml:space="preserve">However, if your complaint relates to antisocial behaviour, it is also recommended that you seek a resolution direct in the first instance but, should this not resolve the matter, you should report it </w:t>
      </w:r>
      <w:r w:rsidDel="00000000" w:rsidR="00000000" w:rsidRPr="00000000">
        <w:rPr>
          <w:rFonts w:ascii="Helvetica Neue" w:cs="Helvetica Neue" w:eastAsia="Helvetica Neue" w:hAnsi="Helvetica Neue"/>
          <w:b w:val="0"/>
          <w:i w:val="0"/>
          <w:smallCaps w:val="0"/>
          <w:strike w:val="0"/>
          <w:sz w:val="20"/>
          <w:szCs w:val="20"/>
          <w:highlight w:val="white"/>
          <w:u w:val="none"/>
          <w:vertAlign w:val="baseline"/>
          <w:rtl w:val="0"/>
        </w:rPr>
        <w:t xml:space="preserve">here: </w:t>
      </w:r>
      <w:hyperlink r:id="rId10">
        <w:r w:rsidDel="00000000" w:rsidR="00000000" w:rsidRPr="00000000">
          <w:rPr>
            <w:rFonts w:ascii="Helvetica Neue" w:cs="Helvetica Neue" w:eastAsia="Helvetica Neue" w:hAnsi="Helvetica Neue"/>
            <w:b w:val="0"/>
            <w:i w:val="0"/>
            <w:smallCaps w:val="0"/>
            <w:strike w:val="0"/>
            <w:color w:val="0563c1"/>
            <w:sz w:val="20"/>
            <w:szCs w:val="20"/>
            <w:highlight w:val="white"/>
            <w:u w:val="single"/>
            <w:vertAlign w:val="baseline"/>
            <w:rtl w:val="0"/>
          </w:rPr>
          <w:t xml:space="preserve">https://www.stockport.gov.uk/anti-social-behaviour</w:t>
        </w:r>
      </w:hyperlink>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Helvetica Neue" w:cs="Helvetica Neue" w:eastAsia="Helvetica Neue" w:hAnsi="Helvetica Neue"/>
          <w:b w:val="0"/>
          <w:i w:val="0"/>
          <w:smallCaps w:val="0"/>
          <w:strike w:val="0"/>
          <w:color w:val="1d2228"/>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Please print this form and hand it to a court representative or director or email it to </w:t>
      </w:r>
      <w:hyperlink r:id="rId11">
        <w:r w:rsidDel="00000000" w:rsidR="00000000" w:rsidRPr="00000000">
          <w:rPr>
            <w:rFonts w:ascii="Helvetica Neue" w:cs="Helvetica Neue" w:eastAsia="Helvetica Neue" w:hAnsi="Helvetica Neue"/>
            <w:b w:val="0"/>
            <w:i w:val="0"/>
            <w:smallCaps w:val="0"/>
            <w:strike w:val="0"/>
            <w:color w:val="0563c1"/>
            <w:sz w:val="20"/>
            <w:szCs w:val="20"/>
            <w:highlight w:val="white"/>
            <w:u w:val="single"/>
            <w:vertAlign w:val="baseline"/>
            <w:rtl w:val="0"/>
          </w:rPr>
          <w:t xml:space="preserve">deneparkmaintenancecommittee@gmail.com</w:t>
        </w:r>
      </w:hyperlink>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 If you wish to submit this form anonymously, please do so via your court representative.</w:t>
      </w:r>
    </w:p>
    <w:tbl>
      <w:tblPr>
        <w:tblStyle w:val="Table1"/>
        <w:tblW w:w="971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6"/>
        <w:tblGridChange w:id="0">
          <w:tblGrid>
            <w:gridCol w:w="9716"/>
          </w:tblGrid>
        </w:tblGridChange>
      </w:tblGrid>
      <w:tr>
        <w:trPr>
          <w:trHeight w:val="225" w:hRule="atLeast"/>
        </w:trPr>
        <w:tc>
          <w:tcPr/>
          <w:p w:rsidR="00000000" w:rsidDel="00000000" w:rsidP="00000000" w:rsidRDefault="00000000" w:rsidRPr="00000000" w14:paraId="00000009">
            <w:pPr>
              <w:shd w:fill="ffffff" w:val="clear"/>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highlight w:val="white"/>
                <w:rtl w:val="0"/>
              </w:rPr>
              <w:t xml:space="preserve">Your name: </w:t>
            </w:r>
            <w:r w:rsidDel="00000000" w:rsidR="00000000" w:rsidRPr="00000000">
              <w:rPr>
                <w:rtl w:val="0"/>
              </w:rPr>
            </w:r>
          </w:p>
        </w:tc>
      </w:tr>
      <w:tr>
        <w:trPr>
          <w:trHeight w:val="242" w:hRule="atLeast"/>
        </w:trPr>
        <w:tc>
          <w:tcPr/>
          <w:p w:rsidR="00000000" w:rsidDel="00000000" w:rsidP="00000000" w:rsidRDefault="00000000" w:rsidRPr="00000000" w14:paraId="0000000A">
            <w:pPr>
              <w:shd w:fill="ffffff" w:val="clear"/>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Date of submission:</w:t>
            </w:r>
          </w:p>
        </w:tc>
      </w:tr>
      <w:tr>
        <w:trPr>
          <w:trHeight w:val="225" w:hRule="atLeast"/>
        </w:trPr>
        <w:tc>
          <w:tcPr/>
          <w:p w:rsidR="00000000" w:rsidDel="00000000" w:rsidP="00000000" w:rsidRDefault="00000000" w:rsidRPr="00000000" w14:paraId="0000000B">
            <w:pPr>
              <w:shd w:fill="ffffff" w:val="clear"/>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Your preferred contact details:</w:t>
            </w:r>
          </w:p>
        </w:tc>
      </w:tr>
      <w:tr>
        <w:trPr>
          <w:trHeight w:val="242" w:hRule="atLeast"/>
        </w:trPr>
        <w:tc>
          <w:tcPr/>
          <w:p w:rsidR="00000000" w:rsidDel="00000000" w:rsidP="00000000" w:rsidRDefault="00000000" w:rsidRPr="00000000" w14:paraId="0000000C">
            <w:pPr>
              <w:shd w:fill="ffffff" w:val="clear"/>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This is a complaint/request/idea (delete as appropriate):</w:t>
            </w:r>
          </w:p>
        </w:tc>
      </w:tr>
      <w:tr>
        <w:trPr>
          <w:trHeight w:val="242" w:hRule="atLeast"/>
        </w:trPr>
        <w:tc>
          <w:tcPr/>
          <w:p w:rsidR="00000000" w:rsidDel="00000000" w:rsidP="00000000" w:rsidRDefault="00000000" w:rsidRPr="00000000" w14:paraId="0000000D">
            <w:pPr>
              <w:shd w:fill="ffffff" w:val="clear"/>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Who else does this affect? Who else should be consulted?</w:t>
            </w:r>
          </w:p>
        </w:tc>
      </w:tr>
      <w:tr>
        <w:trPr>
          <w:trHeight w:val="2924" w:hRule="atLeast"/>
        </w:trPr>
        <w:tc>
          <w:tcPr/>
          <w:p w:rsidR="00000000" w:rsidDel="00000000" w:rsidP="00000000" w:rsidRDefault="00000000" w:rsidRPr="00000000" w14:paraId="0000000E">
            <w:pPr>
              <w:spacing w:after="280" w:lineRule="auto"/>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Please add details here:</w:t>
            </w:r>
          </w:p>
          <w:p w:rsidR="00000000" w:rsidDel="00000000" w:rsidP="00000000" w:rsidRDefault="00000000" w:rsidRPr="00000000" w14:paraId="0000000F">
            <w:pPr>
              <w:spacing w:after="280" w:before="280" w:lineRule="auto"/>
              <w:rPr>
                <w:rFonts w:ascii="Helvetica Neue" w:cs="Helvetica Neue" w:eastAsia="Helvetica Neue" w:hAnsi="Helvetica Neue"/>
                <w:color w:val="1d2228"/>
                <w:sz w:val="20"/>
                <w:szCs w:val="20"/>
                <w:highlight w:val="white"/>
              </w:rPr>
            </w:pPr>
            <w:r w:rsidDel="00000000" w:rsidR="00000000" w:rsidRPr="00000000">
              <w:rPr>
                <w:rtl w:val="0"/>
              </w:rPr>
            </w:r>
          </w:p>
          <w:p w:rsidR="00000000" w:rsidDel="00000000" w:rsidP="00000000" w:rsidRDefault="00000000" w:rsidRPr="00000000" w14:paraId="00000010">
            <w:pPr>
              <w:spacing w:after="280" w:before="280" w:lineRule="auto"/>
              <w:rPr>
                <w:rFonts w:ascii="Helvetica Neue" w:cs="Helvetica Neue" w:eastAsia="Helvetica Neue" w:hAnsi="Helvetica Neue"/>
                <w:color w:val="1d2228"/>
                <w:sz w:val="20"/>
                <w:szCs w:val="20"/>
                <w:highlight w:val="white"/>
              </w:rPr>
            </w:pPr>
            <w:r w:rsidDel="00000000" w:rsidR="00000000" w:rsidRPr="00000000">
              <w:rPr>
                <w:rtl w:val="0"/>
              </w:rPr>
            </w:r>
          </w:p>
          <w:p w:rsidR="00000000" w:rsidDel="00000000" w:rsidP="00000000" w:rsidRDefault="00000000" w:rsidRPr="00000000" w14:paraId="00000011">
            <w:pPr>
              <w:spacing w:after="280" w:before="280" w:lineRule="auto"/>
              <w:rPr>
                <w:rFonts w:ascii="Helvetica Neue" w:cs="Helvetica Neue" w:eastAsia="Helvetica Neue" w:hAnsi="Helvetica Neue"/>
                <w:color w:val="1d2228"/>
                <w:sz w:val="20"/>
                <w:szCs w:val="20"/>
                <w:highlight w:val="white"/>
              </w:rPr>
            </w:pPr>
            <w:r w:rsidDel="00000000" w:rsidR="00000000" w:rsidRPr="00000000">
              <w:rPr>
                <w:rtl w:val="0"/>
              </w:rPr>
            </w:r>
          </w:p>
          <w:p w:rsidR="00000000" w:rsidDel="00000000" w:rsidP="00000000" w:rsidRDefault="00000000" w:rsidRPr="00000000" w14:paraId="00000012">
            <w:pPr>
              <w:spacing w:after="280" w:before="280" w:lineRule="auto"/>
              <w:rPr>
                <w:rFonts w:ascii="Helvetica Neue" w:cs="Helvetica Neue" w:eastAsia="Helvetica Neue" w:hAnsi="Helvetica Neue"/>
                <w:color w:val="1d2228"/>
                <w:sz w:val="20"/>
                <w:szCs w:val="20"/>
                <w:highlight w:val="white"/>
              </w:rPr>
            </w:pPr>
            <w:r w:rsidDel="00000000" w:rsidR="00000000" w:rsidRPr="00000000">
              <w:rPr>
                <w:rtl w:val="0"/>
              </w:rPr>
            </w:r>
          </w:p>
          <w:p w:rsidR="00000000" w:rsidDel="00000000" w:rsidP="00000000" w:rsidRDefault="00000000" w:rsidRPr="00000000" w14:paraId="00000013">
            <w:pPr>
              <w:spacing w:after="280" w:before="280" w:lineRule="auto"/>
              <w:rPr>
                <w:rFonts w:ascii="Helvetica Neue" w:cs="Helvetica Neue" w:eastAsia="Helvetica Neue" w:hAnsi="Helvetica Neue"/>
                <w:color w:val="1d2228"/>
                <w:sz w:val="20"/>
                <w:szCs w:val="20"/>
                <w:highlight w:val="white"/>
              </w:rPr>
            </w:pPr>
            <w:r w:rsidDel="00000000" w:rsidR="00000000" w:rsidRPr="00000000">
              <w:rPr>
                <w:rtl w:val="0"/>
              </w:rPr>
            </w:r>
          </w:p>
          <w:p w:rsidR="00000000" w:rsidDel="00000000" w:rsidP="00000000" w:rsidRDefault="00000000" w:rsidRPr="00000000" w14:paraId="00000014">
            <w:pPr>
              <w:spacing w:after="280" w:before="280" w:lineRule="auto"/>
              <w:rPr>
                <w:rFonts w:ascii="Helvetica Neue" w:cs="Helvetica Neue" w:eastAsia="Helvetica Neue" w:hAnsi="Helvetica Neue"/>
                <w:color w:val="1d2228"/>
                <w:sz w:val="20"/>
                <w:szCs w:val="20"/>
                <w:highlight w:val="white"/>
              </w:rPr>
            </w:pPr>
            <w:r w:rsidDel="00000000" w:rsidR="00000000" w:rsidRPr="00000000">
              <w:rPr>
                <w:rtl w:val="0"/>
              </w:rPr>
            </w:r>
          </w:p>
          <w:p w:rsidR="00000000" w:rsidDel="00000000" w:rsidP="00000000" w:rsidRDefault="00000000" w:rsidRPr="00000000" w14:paraId="00000015">
            <w:pPr>
              <w:spacing w:after="280" w:before="280" w:lineRule="auto"/>
              <w:rPr>
                <w:rFonts w:ascii="Helvetica Neue" w:cs="Helvetica Neue" w:eastAsia="Helvetica Neue" w:hAnsi="Helvetica Neue"/>
                <w:color w:val="1d2228"/>
                <w:sz w:val="20"/>
                <w:szCs w:val="20"/>
                <w:highlight w:val="white"/>
              </w:rPr>
            </w:pPr>
            <w:r w:rsidDel="00000000" w:rsidR="00000000" w:rsidRPr="00000000">
              <w:rPr>
                <w:rtl w:val="0"/>
              </w:rPr>
            </w:r>
          </w:p>
          <w:p w:rsidR="00000000" w:rsidDel="00000000" w:rsidP="00000000" w:rsidRDefault="00000000" w:rsidRPr="00000000" w14:paraId="00000016">
            <w:pPr>
              <w:spacing w:before="280" w:lineRule="auto"/>
              <w:rPr>
                <w:rFonts w:ascii="Helvetica Neue" w:cs="Helvetica Neue" w:eastAsia="Helvetica Neue" w:hAnsi="Helvetica Neue"/>
                <w:color w:val="1d2228"/>
                <w:sz w:val="20"/>
                <w:szCs w:val="20"/>
                <w:highlight w:val="white"/>
              </w:rPr>
            </w:pPr>
            <w:r w:rsidDel="00000000" w:rsidR="00000000" w:rsidRPr="00000000">
              <w:rPr>
                <w:rtl w:val="0"/>
              </w:rPr>
            </w:r>
          </w:p>
        </w:tc>
      </w:tr>
    </w:tbl>
    <w:p w:rsidR="00000000" w:rsidDel="00000000" w:rsidP="00000000" w:rsidRDefault="00000000" w:rsidRPr="00000000" w14:paraId="00000017">
      <w:pPr>
        <w:shd w:fill="ffffff" w:val="clear"/>
        <w:spacing w:after="0" w:line="240" w:lineRule="auto"/>
        <w:rPr>
          <w:rFonts w:ascii="Helvetica Neue" w:cs="Helvetica Neue" w:eastAsia="Helvetica Neue" w:hAnsi="Helvetica Neue"/>
          <w:color w:val="1d2228"/>
          <w:sz w:val="20"/>
          <w:szCs w:val="20"/>
        </w:rPr>
      </w:pPr>
      <w:r w:rsidDel="00000000" w:rsidR="00000000" w:rsidRPr="00000000">
        <w:rPr>
          <w:rtl w:val="0"/>
        </w:rPr>
      </w:r>
    </w:p>
    <w:p w:rsidR="00000000" w:rsidDel="00000000" w:rsidP="00000000" w:rsidRDefault="00000000" w:rsidRPr="00000000" w14:paraId="00000018">
      <w:pPr>
        <w:shd w:fill="ffffff" w:val="clear"/>
        <w:spacing w:before="280" w:line="240" w:lineRule="auto"/>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As above, </w:t>
      </w:r>
      <w:r w:rsidDel="00000000" w:rsidR="00000000" w:rsidRPr="00000000">
        <w:rPr>
          <w:rFonts w:ascii="Helvetica Neue" w:cs="Helvetica Neue" w:eastAsia="Helvetica Neue" w:hAnsi="Helvetica Neue"/>
          <w:sz w:val="20"/>
          <w:szCs w:val="20"/>
          <w:highlight w:val="white"/>
          <w:rtl w:val="0"/>
        </w:rPr>
        <w:t xml:space="preserve">Directors </w:t>
      </w:r>
      <w:r w:rsidDel="00000000" w:rsidR="00000000" w:rsidRPr="00000000">
        <w:rPr>
          <w:rFonts w:ascii="Helvetica Neue" w:cs="Helvetica Neue" w:eastAsia="Helvetica Neue" w:hAnsi="Helvetica Neue"/>
          <w:sz w:val="20"/>
          <w:szCs w:val="20"/>
          <w:highlight w:val="white"/>
          <w:rtl w:val="0"/>
        </w:rPr>
        <w:t xml:space="preserve">usually</w:t>
      </w:r>
      <w:r w:rsidDel="00000000" w:rsidR="00000000" w:rsidRPr="00000000">
        <w:rPr>
          <w:rFonts w:ascii="Helvetica Neue" w:cs="Helvetica Neue" w:eastAsia="Helvetica Neue" w:hAnsi="Helvetica Neue"/>
          <w:sz w:val="20"/>
          <w:szCs w:val="20"/>
          <w:highlight w:val="white"/>
          <w:rtl w:val="0"/>
        </w:rPr>
        <w:t xml:space="preserve"> meet </w:t>
      </w:r>
      <w:r w:rsidDel="00000000" w:rsidR="00000000" w:rsidRPr="00000000">
        <w:rPr>
          <w:rFonts w:ascii="Helvetica Neue" w:cs="Helvetica Neue" w:eastAsia="Helvetica Neue" w:hAnsi="Helvetica Neue"/>
          <w:sz w:val="20"/>
          <w:szCs w:val="20"/>
          <w:highlight w:val="white"/>
          <w:rtl w:val="0"/>
        </w:rPr>
        <w:t xml:space="preserve">monthly</w:t>
      </w:r>
      <w:r w:rsidDel="00000000" w:rsidR="00000000" w:rsidRPr="00000000">
        <w:rPr>
          <w:rFonts w:ascii="Helvetica Neue" w:cs="Helvetica Neue" w:eastAsia="Helvetica Neue" w:hAnsi="Helvetica Neue"/>
          <w:sz w:val="20"/>
          <w:szCs w:val="20"/>
          <w:highlight w:val="white"/>
          <w:rtl w:val="0"/>
        </w:rPr>
        <w:t xml:space="preserve"> and will, of course, consider all matters raised as quickly as possible.  Dene Park Maintenance Co</w:t>
      </w:r>
      <w:r w:rsidDel="00000000" w:rsidR="00000000" w:rsidRPr="00000000">
        <w:rPr>
          <w:rFonts w:ascii="Helvetica Neue" w:cs="Helvetica Neue" w:eastAsia="Helvetica Neue" w:hAnsi="Helvetica Neue"/>
          <w:color w:val="1d2228"/>
          <w:sz w:val="20"/>
          <w:szCs w:val="20"/>
          <w:highlight w:val="white"/>
          <w:rtl w:val="0"/>
        </w:rPr>
        <w:t xml:space="preserve">mmittee is committed to ensuring confidentiality as far as is practicable in respect of all issues raised and residents involved.  However, it is also recognised that multiple residents may be affected and Directors will gladly undertake wider consultation where appropriate.  Directors welcome suggestions relating to the upkeep and attractiveness of the estate.</w:t>
      </w:r>
    </w:p>
    <w:p w:rsidR="00000000" w:rsidDel="00000000" w:rsidP="00000000" w:rsidRDefault="00000000" w:rsidRPr="00000000" w14:paraId="00000019">
      <w:pPr>
        <w:shd w:fill="ffffff" w:val="clear"/>
        <w:spacing w:before="280" w:line="240" w:lineRule="auto"/>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Where a complaint is made, Directors will act with sensitivity and recognise the importance of ensuring good relations across all parties.  </w:t>
      </w:r>
    </w:p>
    <w:p w:rsidR="00000000" w:rsidDel="00000000" w:rsidP="00000000" w:rsidRDefault="00000000" w:rsidRPr="00000000" w14:paraId="0000001A">
      <w:pPr>
        <w:shd w:fill="ffffff" w:val="clear"/>
        <w:spacing w:before="280" w:line="240" w:lineRule="auto"/>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highlight w:val="white"/>
          <w:rtl w:val="0"/>
        </w:rPr>
        <w:t xml:space="preserve">Residents are asked to note that Directors’ decisions must align with legislation, its Articles of Association and the Covenant.</w:t>
      </w:r>
      <w:r w:rsidDel="00000000" w:rsidR="00000000" w:rsidRPr="00000000">
        <w:rPr>
          <w:rtl w:val="0"/>
        </w:rPr>
      </w:r>
    </w:p>
    <w:p w:rsidR="00000000" w:rsidDel="00000000" w:rsidP="00000000" w:rsidRDefault="00000000" w:rsidRPr="00000000" w14:paraId="0000001B">
      <w:pPr>
        <w:shd w:fill="ffffff" w:val="clear"/>
        <w:spacing w:after="0" w:line="240" w:lineRule="auto"/>
        <w:rPr>
          <w:rFonts w:ascii="Helvetica Neue" w:cs="Helvetica Neue" w:eastAsia="Helvetica Neue" w:hAnsi="Helvetica Neue"/>
          <w:color w:val="1d2228"/>
          <w:sz w:val="20"/>
          <w:szCs w:val="20"/>
        </w:rPr>
      </w:pPr>
      <w:bookmarkStart w:colFirst="0" w:colLast="0" w:name="_heading=h.gjdgxs" w:id="0"/>
      <w:bookmarkEnd w:id="0"/>
      <w:r w:rsidDel="00000000" w:rsidR="00000000" w:rsidRPr="00000000">
        <w:rPr>
          <w:rtl w:val="0"/>
        </w:rPr>
      </w:r>
    </w:p>
    <w:sectPr>
      <w:pgSz w:h="16838" w:w="11906" w:orient="portrait"/>
      <w:pgMar w:bottom="567" w:top="567" w:left="1134" w:right="1134"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D43C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43CD"/>
    <w:rPr>
      <w:rFonts w:ascii="Segoe UI" w:cs="Segoe UI" w:hAnsi="Segoe UI"/>
      <w:sz w:val="18"/>
      <w:szCs w:val="18"/>
    </w:rPr>
  </w:style>
  <w:style w:type="character" w:styleId="Hyperlink">
    <w:name w:val="Hyperlink"/>
    <w:basedOn w:val="DefaultParagraphFont"/>
    <w:uiPriority w:val="99"/>
    <w:unhideWhenUsed w:val="1"/>
    <w:rsid w:val="00035FA8"/>
    <w:rPr>
      <w:color w:val="0563c1" w:themeColor="hyperlink"/>
      <w:u w:val="single"/>
    </w:rPr>
  </w:style>
  <w:style w:type="paragraph" w:styleId="ListParagraph">
    <w:name w:val="List Paragraph"/>
    <w:basedOn w:val="Normal"/>
    <w:uiPriority w:val="34"/>
    <w:qFormat w:val="1"/>
    <w:rsid w:val="00035FA8"/>
    <w:pPr>
      <w:ind w:left="720"/>
      <w:contextualSpacing w:val="1"/>
    </w:pPr>
  </w:style>
  <w:style w:type="table" w:styleId="TableGrid">
    <w:name w:val="Table Grid"/>
    <w:basedOn w:val="TableNormal"/>
    <w:uiPriority w:val="39"/>
    <w:rsid w:val="00035FA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eneparkmaintenancecommittee@gmail.com" TargetMode="External"/><Relationship Id="rId10" Type="http://schemas.openxmlformats.org/officeDocument/2006/relationships/hyperlink" Target="https://www.stockport.gov.uk/anti-social-behaviour" TargetMode="External"/><Relationship Id="rId9" Type="http://schemas.openxmlformats.org/officeDocument/2006/relationships/hyperlink" Target="https://www.denepark.org/covena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denepark.org/documents/tree-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t3r18L+9hK70X9qIN5C3RU58Jg==">AMUW2mUYpy/zk/WTco/SWsuCbSxSjl3yubhba3YvNzCK0PuaIBpgOhxsBkUsMxUojeY99/oEswRYKnjODq4HrRy4kbPMaMaD9AsqunW/SzUIE+DEz1OYWDBGUcElb4jal0I8xSVMqah7lPh8e0gwdVKMDcs7WAX2ufE5BVqx8JvFtbtFGIbAKfQW5SjDPyAQAh4/qinab4WfeQsEHoTF1CzLACu6ieyJM34PNYUjaL51u+Ny2/4Ocm1uXjF69mj5SUoDit4hpgpICHFsLcDfUIhlvzoLQOoZ9oBSlTaLiFlDK5HWqaflrb5puB8Bvtxa5vdxMDFUq/OXs5vk7VZ4v9R4CH/AqBBA4RvbqCtDhY38+P1qdORKmsenJ0B5NHYyGAcHm5bKGWuE+IIsKMaqAzbZq789TeIHvGPKeihDjZAjyZBM7r8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2021-02-21T11:48:00Z</dcterms:created>
  <dc:creator>Anthony Picot</dc:creator>
</cp:coreProperties>
</file>